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numPr>
          <w:ilvl w:val="0"/>
          <w:numId w:val="0"/>
        </w:numPr>
        <w:bidi w:val="0"/>
        <w:ind w:leftChars="0"/>
        <w:jc w:val="center"/>
        <w:rPr>
          <w:rFonts w:hint="eastAsia"/>
          <w:color w:val="auto"/>
        </w:rPr>
      </w:pPr>
      <w:r>
        <w:rPr>
          <w:rFonts w:hint="eastAsia"/>
          <w:color w:val="auto"/>
        </w:rPr>
        <w:t>项目采购需求</w:t>
      </w:r>
    </w:p>
    <w:p>
      <w:pPr>
        <w:pStyle w:val="3"/>
        <w:bidi w:val="0"/>
        <w:rPr>
          <w:rFonts w:hint="eastAsia"/>
          <w:color w:val="auto"/>
        </w:rPr>
      </w:pPr>
      <w:r>
        <w:rPr>
          <w:rFonts w:hint="eastAsia"/>
          <w:color w:val="auto"/>
        </w:rPr>
        <w:t>采购内容</w:t>
      </w:r>
    </w:p>
    <w:p>
      <w:pPr>
        <w:pStyle w:val="4"/>
        <w:bidi w:val="0"/>
        <w:rPr>
          <w:rFonts w:hint="eastAsia"/>
          <w:color w:val="auto"/>
        </w:rPr>
      </w:pPr>
      <w:r>
        <w:rPr>
          <w:rFonts w:hint="eastAsia"/>
          <w:color w:val="auto"/>
          <w:lang w:val="en-US" w:eastAsia="zh-Hans"/>
        </w:rPr>
        <w:t>采购</w:t>
      </w:r>
      <w:r>
        <w:rPr>
          <w:rFonts w:hint="eastAsia"/>
          <w:color w:val="auto"/>
        </w:rPr>
        <w:t>明细清单</w:t>
      </w: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88"/>
        <w:gridCol w:w="2087"/>
        <w:gridCol w:w="5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trPr>
        <w:tc>
          <w:tcPr>
            <w:tcW w:w="413"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rPr>
            </w:pPr>
            <w:r>
              <w:rPr>
                <w:rFonts w:hint="eastAsia"/>
                <w:color w:val="auto"/>
              </w:rPr>
              <w:t>序号</w:t>
            </w:r>
          </w:p>
        </w:tc>
        <w:tc>
          <w:tcPr>
            <w:tcW w:w="1252"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rPr>
            </w:pPr>
            <w:r>
              <w:rPr>
                <w:rFonts w:hint="eastAsia"/>
                <w:color w:val="auto"/>
              </w:rPr>
              <w:t>类别</w:t>
            </w:r>
          </w:p>
        </w:tc>
        <w:tc>
          <w:tcPr>
            <w:tcW w:w="3334"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lang w:val="en-US" w:eastAsia="zh-Hans"/>
              </w:rPr>
            </w:pPr>
            <w:r>
              <w:rPr>
                <w:rFonts w:hint="eastAsia"/>
                <w:color w:val="auto"/>
                <w:lang w:val="en-US" w:eastAsia="zh-Hans"/>
              </w:rPr>
              <w:t>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413"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rPr>
            </w:pPr>
            <w:r>
              <w:rPr>
                <w:rFonts w:hint="eastAsia"/>
                <w:color w:val="auto"/>
              </w:rPr>
              <w:t>1</w:t>
            </w:r>
          </w:p>
        </w:tc>
        <w:tc>
          <w:tcPr>
            <w:tcW w:w="1252"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rPr>
            </w:pPr>
            <w:r>
              <w:rPr>
                <w:rFonts w:hint="eastAsia"/>
                <w:color w:val="auto"/>
                <w:lang w:eastAsia="zh-CN"/>
              </w:rPr>
              <w:t>核查</w:t>
            </w:r>
            <w:r>
              <w:rPr>
                <w:rFonts w:hint="eastAsia"/>
                <w:color w:val="auto"/>
              </w:rPr>
              <w:t>上传业务流</w:t>
            </w:r>
          </w:p>
        </w:tc>
        <w:tc>
          <w:tcPr>
            <w:tcW w:w="3334"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eastAsia="仿宋"/>
                <w:color w:val="auto"/>
                <w:lang w:val="en-US" w:eastAsia="zh-CN"/>
              </w:rPr>
            </w:pPr>
            <w:r>
              <w:rPr>
                <w:rFonts w:hint="eastAsia"/>
                <w:color w:val="auto"/>
                <w:lang w:val="en-US" w:eastAsia="zh-CN"/>
              </w:rPr>
              <w:t>核查</w:t>
            </w:r>
            <w:r>
              <w:rPr>
                <w:rFonts w:hint="eastAsia"/>
                <w:color w:val="auto"/>
                <w:lang w:val="en-US" w:eastAsia="zh-Hans"/>
              </w:rPr>
              <w:t>（含检查）</w:t>
            </w:r>
            <w:r>
              <w:rPr>
                <w:rFonts w:hint="eastAsia"/>
                <w:color w:val="auto"/>
                <w:lang w:val="en-US" w:eastAsia="zh-CN"/>
              </w:rPr>
              <w:t>43</w:t>
            </w:r>
            <w:r>
              <w:rPr>
                <w:rFonts w:hint="eastAsia"/>
                <w:color w:val="auto"/>
                <w:lang w:val="en-US" w:eastAsia="zh-Hans"/>
              </w:rPr>
              <w:t>张表数据上传业务流，确保新系统上线后的数据可以增量上传至省厅中心库。</w:t>
            </w:r>
            <w:r>
              <w:rPr>
                <w:rFonts w:hint="eastAsia"/>
                <w:color w:val="auto"/>
                <w:lang w:val="en-US" w:eastAsia="zh-CN"/>
              </w:rPr>
              <w:t>合同期间若省里有新增表数据，需按时完成新增任务。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413"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rPr>
            </w:pPr>
            <w:r>
              <w:rPr>
                <w:rFonts w:hint="eastAsia"/>
                <w:color w:val="auto"/>
              </w:rPr>
              <w:t>2</w:t>
            </w:r>
          </w:p>
        </w:tc>
        <w:tc>
          <w:tcPr>
            <w:tcW w:w="1252"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rPr>
            </w:pPr>
            <w:r>
              <w:rPr>
                <w:rFonts w:hint="eastAsia"/>
                <w:color w:val="auto"/>
              </w:rPr>
              <w:t>老系统数据补传</w:t>
            </w:r>
          </w:p>
        </w:tc>
        <w:tc>
          <w:tcPr>
            <w:tcW w:w="3334"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color w:val="auto"/>
                <w:lang w:val="en-US" w:eastAsia="zh-Hans"/>
              </w:rPr>
            </w:pPr>
            <w:r>
              <w:rPr>
                <w:rFonts w:hint="eastAsia"/>
                <w:color w:val="auto"/>
                <w:lang w:val="en-US" w:eastAsia="zh-Hans"/>
              </w:rPr>
              <w:t>检查</w:t>
            </w:r>
            <w:r>
              <w:rPr>
                <w:rFonts w:hint="eastAsia"/>
                <w:color w:val="auto"/>
                <w:lang w:eastAsia="zh-Hans"/>
              </w:rPr>
              <w:t>201</w:t>
            </w:r>
            <w:r>
              <w:rPr>
                <w:rFonts w:hint="default"/>
                <w:color w:val="auto"/>
                <w:lang w:eastAsia="zh-Hans"/>
              </w:rPr>
              <w:t>9</w:t>
            </w:r>
            <w:r>
              <w:rPr>
                <w:rFonts w:hint="eastAsia"/>
                <w:color w:val="auto"/>
                <w:lang w:val="en-US" w:eastAsia="zh-Hans"/>
              </w:rPr>
              <w:t>年至新系统上线前的表是否有数据遗漏，进行数据补传。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413"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rPr>
            </w:pPr>
            <w:r>
              <w:rPr>
                <w:rFonts w:hint="eastAsia"/>
                <w:color w:val="auto"/>
              </w:rPr>
              <w:t>3</w:t>
            </w:r>
          </w:p>
        </w:tc>
        <w:tc>
          <w:tcPr>
            <w:tcW w:w="1252"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rPr>
            </w:pPr>
            <w:r>
              <w:rPr>
                <w:rFonts w:hint="eastAsia"/>
                <w:color w:val="auto"/>
              </w:rPr>
              <w:t>数据清理与补传</w:t>
            </w:r>
          </w:p>
        </w:tc>
        <w:tc>
          <w:tcPr>
            <w:tcW w:w="3334"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color w:val="auto"/>
                <w:lang w:val="en-US" w:eastAsia="zh-Hans"/>
              </w:rPr>
            </w:pPr>
            <w:r>
              <w:rPr>
                <w:rFonts w:hint="eastAsia"/>
                <w:color w:val="auto"/>
                <w:lang w:val="en-US" w:eastAsia="zh-Hans"/>
              </w:rPr>
              <w:t>新老系统过度期间数据补传；</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color w:val="auto"/>
                <w:lang w:val="en-US" w:eastAsia="zh-Hans"/>
              </w:rPr>
            </w:pPr>
            <w:r>
              <w:rPr>
                <w:rFonts w:hint="eastAsia"/>
                <w:color w:val="auto"/>
                <w:lang w:val="en-US" w:eastAsia="zh-Hans"/>
              </w:rPr>
              <w:t>新系统上线后到双方合同签订期间数据补传。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413"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rPr>
            </w:pPr>
            <w:r>
              <w:rPr>
                <w:rFonts w:hint="eastAsia"/>
                <w:color w:val="auto"/>
              </w:rPr>
              <w:t>4</w:t>
            </w:r>
          </w:p>
        </w:tc>
        <w:tc>
          <w:tcPr>
            <w:tcW w:w="1252"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rPr>
            </w:pPr>
            <w:r>
              <w:rPr>
                <w:rFonts w:hint="eastAsia"/>
                <w:color w:val="auto"/>
              </w:rPr>
              <w:t>数据检查与上传</w:t>
            </w:r>
          </w:p>
        </w:tc>
        <w:tc>
          <w:tcPr>
            <w:tcW w:w="3334"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color w:val="auto"/>
                <w:lang w:val="en-US" w:eastAsia="zh-Hans"/>
              </w:rPr>
            </w:pPr>
            <w:r>
              <w:rPr>
                <w:rFonts w:hint="eastAsia"/>
                <w:color w:val="auto"/>
                <w:lang w:val="en-US" w:eastAsia="zh-Hans"/>
              </w:rPr>
              <w:t>开启每天定时数据检查与上传。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413"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rPr>
            </w:pPr>
            <w:r>
              <w:rPr>
                <w:rFonts w:hint="eastAsia"/>
                <w:color w:val="auto"/>
              </w:rPr>
              <w:t>5</w:t>
            </w:r>
          </w:p>
        </w:tc>
        <w:tc>
          <w:tcPr>
            <w:tcW w:w="1252"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rPr>
            </w:pPr>
            <w:r>
              <w:rPr>
                <w:rFonts w:hint="eastAsia"/>
                <w:color w:val="auto"/>
              </w:rPr>
              <w:t>数据量核对</w:t>
            </w:r>
          </w:p>
        </w:tc>
        <w:tc>
          <w:tcPr>
            <w:tcW w:w="3334"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color w:val="auto"/>
                <w:lang w:val="en-US" w:eastAsia="zh-Hans"/>
              </w:rPr>
            </w:pPr>
            <w:r>
              <w:rPr>
                <w:rFonts w:hint="eastAsia"/>
                <w:color w:val="auto"/>
                <w:lang w:val="en-US" w:eastAsia="zh-Hans"/>
              </w:rPr>
              <w:t>从院端数据抽取、数据入库两个环节分析比较医院实际业务数据量和抽取后数据量比对，保证抽取后的数据量反应医院实际业务情况。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color w:val="auto"/>
                <w:lang w:val="en-US" w:eastAsia="zh-Hans"/>
              </w:rPr>
            </w:pPr>
            <w:r>
              <w:rPr>
                <w:rFonts w:hint="eastAsia"/>
                <w:color w:val="auto"/>
                <w:lang w:val="en-US" w:eastAsia="zh-Hans"/>
              </w:rPr>
              <w:t>分析医疗监管平台（http://10.40.11.238:8089/jsms/）</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color w:val="auto"/>
                <w:lang w:val="en-US" w:eastAsia="zh-Hans"/>
              </w:rPr>
            </w:pPr>
            <w:r>
              <w:rPr>
                <w:rFonts w:hint="eastAsia"/>
                <w:color w:val="auto"/>
                <w:lang w:val="en-US" w:eastAsia="zh-Hans"/>
              </w:rPr>
              <w:t>如数据表质量，表与表之间的关联性等问题，向医院提出整改建议。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413"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rPr>
            </w:pPr>
            <w:r>
              <w:rPr>
                <w:rFonts w:hint="eastAsia"/>
                <w:color w:val="auto"/>
              </w:rPr>
              <w:t>6</w:t>
            </w:r>
          </w:p>
        </w:tc>
        <w:tc>
          <w:tcPr>
            <w:tcW w:w="1252"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lang w:val="en-US" w:eastAsia="zh-CN"/>
              </w:rPr>
            </w:pPr>
            <w:r>
              <w:rPr>
                <w:rFonts w:hint="eastAsia"/>
                <w:color w:val="auto"/>
              </w:rPr>
              <w:t>码表对照</w:t>
            </w:r>
            <w:r>
              <w:rPr>
                <w:rFonts w:hint="eastAsia"/>
                <w:color w:val="auto"/>
                <w:lang w:val="en-US" w:eastAsia="zh-CN"/>
              </w:rPr>
              <w:t>工具培训</w:t>
            </w:r>
          </w:p>
        </w:tc>
        <w:tc>
          <w:tcPr>
            <w:tcW w:w="3334"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color w:val="auto"/>
                <w:lang w:val="en-US" w:eastAsia="zh-Hans"/>
              </w:rPr>
            </w:pPr>
            <w:r>
              <w:rPr>
                <w:rFonts w:hint="eastAsia"/>
                <w:color w:val="auto"/>
                <w:lang w:val="en-US" w:eastAsia="zh-Hans"/>
              </w:rPr>
              <w:t>辅助医院相关科室完成码表对照工作，培训对码工具的使用。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 w:hRule="atLeast"/>
        </w:trPr>
        <w:tc>
          <w:tcPr>
            <w:tcW w:w="413"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rPr>
            </w:pPr>
            <w:r>
              <w:rPr>
                <w:rFonts w:hint="eastAsia"/>
                <w:color w:val="auto"/>
              </w:rPr>
              <w:t>7</w:t>
            </w:r>
          </w:p>
        </w:tc>
        <w:tc>
          <w:tcPr>
            <w:tcW w:w="1252"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rPr>
            </w:pPr>
            <w:r>
              <w:rPr>
                <w:rFonts w:hint="eastAsia"/>
                <w:color w:val="auto"/>
              </w:rPr>
              <w:t>沟通协调</w:t>
            </w:r>
          </w:p>
        </w:tc>
        <w:tc>
          <w:tcPr>
            <w:tcW w:w="3334" w:type="pct"/>
            <w:tcBorders>
              <w:bottom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color w:val="auto"/>
                <w:lang w:val="en-US" w:eastAsia="zh-Hans"/>
              </w:rPr>
            </w:pPr>
            <w:r>
              <w:rPr>
                <w:rFonts w:hint="eastAsia"/>
                <w:color w:val="auto"/>
                <w:lang w:val="en-US" w:eastAsia="zh-Hans"/>
              </w:rPr>
              <w:t>和对应上层数据厂商或省厅相关部门进行沟通协调，保证数据准确按期上传成功。</w:t>
            </w:r>
          </w:p>
        </w:tc>
      </w:tr>
    </w:tbl>
    <w:p>
      <w:pPr>
        <w:ind w:left="0" w:leftChars="0" w:firstLine="0" w:firstLineChars="0"/>
        <w:rPr>
          <w:rFonts w:hint="eastAsia"/>
          <w:color w:val="auto"/>
        </w:rPr>
      </w:pPr>
    </w:p>
    <w:p>
      <w:pPr>
        <w:pStyle w:val="4"/>
        <w:bidi w:val="0"/>
        <w:rPr>
          <w:rFonts w:hint="eastAsia"/>
          <w:color w:val="auto"/>
        </w:rPr>
      </w:pPr>
      <w:r>
        <w:rPr>
          <w:rFonts w:hint="eastAsia"/>
          <w:color w:val="auto"/>
          <w:lang w:val="en-US" w:eastAsia="zh-Hans"/>
        </w:rPr>
        <w:t>具体服务需求</w:t>
      </w:r>
    </w:p>
    <w:p>
      <w:pPr>
        <w:pStyle w:val="5"/>
        <w:bidi w:val="0"/>
        <w:rPr>
          <w:rFonts w:hint="eastAsia"/>
          <w:color w:val="auto"/>
          <w:lang w:val="en-US" w:eastAsia="zh-Hans"/>
        </w:rPr>
      </w:pPr>
      <w:r>
        <w:rPr>
          <w:rFonts w:hint="eastAsia"/>
          <w:color w:val="auto"/>
          <w:lang w:val="en-US" w:eastAsia="zh-CN"/>
        </w:rPr>
        <w:t>核查</w:t>
      </w:r>
      <w:r>
        <w:rPr>
          <w:rFonts w:hint="eastAsia"/>
          <w:color w:val="auto"/>
          <w:lang w:val="en-US" w:eastAsia="zh-Hans"/>
        </w:rPr>
        <w:t>上传业务流</w:t>
      </w:r>
    </w:p>
    <w:p>
      <w:pPr>
        <w:bidi w:val="0"/>
        <w:rPr>
          <w:rFonts w:hint="eastAsia"/>
          <w:color w:val="auto"/>
          <w:lang w:eastAsia="zh-Hans"/>
        </w:rPr>
      </w:pPr>
      <w:r>
        <w:rPr>
          <w:rFonts w:hint="default"/>
          <w:color w:val="auto"/>
          <w:lang w:eastAsia="zh-Hans"/>
        </w:rPr>
        <w:t>投标人</w:t>
      </w:r>
      <w:r>
        <w:rPr>
          <w:rFonts w:hint="eastAsia"/>
          <w:color w:val="auto"/>
          <w:lang w:val="en-US" w:eastAsia="zh-Hans"/>
        </w:rPr>
        <w:t>需根据政策要求</w:t>
      </w:r>
      <w:r>
        <w:rPr>
          <w:rFonts w:hint="eastAsia"/>
          <w:color w:val="auto"/>
          <w:lang w:val="en-US" w:eastAsia="zh-CN"/>
        </w:rPr>
        <w:t>核查</w:t>
      </w:r>
      <w:r>
        <w:rPr>
          <w:rFonts w:hint="eastAsia"/>
          <w:color w:val="auto"/>
          <w:lang w:val="en-US" w:eastAsia="zh-CN"/>
        </w:rPr>
        <w:t>43</w:t>
      </w:r>
      <w:r>
        <w:rPr>
          <w:rFonts w:hint="eastAsia"/>
          <w:color w:val="auto"/>
          <w:lang w:val="en-US" w:eastAsia="zh-Hans"/>
        </w:rPr>
        <w:t>张数据上传业务流</w:t>
      </w:r>
      <w:r>
        <w:rPr>
          <w:rFonts w:hint="eastAsia"/>
          <w:color w:val="auto"/>
          <w:lang w:eastAsia="zh-Hans"/>
        </w:rPr>
        <w:t>，</w:t>
      </w:r>
      <w:r>
        <w:rPr>
          <w:rFonts w:hint="eastAsia"/>
          <w:color w:val="auto"/>
          <w:lang w:val="en-US" w:eastAsia="zh-Hans"/>
        </w:rPr>
        <w:t>确保新系统上线后的数据可以增量上传至省厅中心库</w:t>
      </w:r>
      <w:r>
        <w:rPr>
          <w:rFonts w:hint="eastAsia"/>
          <w:color w:val="auto"/>
          <w:lang w:eastAsia="zh-Hans"/>
        </w:rPr>
        <w:t>。</w:t>
      </w:r>
      <w:r>
        <w:rPr>
          <w:rFonts w:hint="eastAsia"/>
          <w:color w:val="auto"/>
          <w:lang w:val="en-US" w:eastAsia="zh-CN"/>
        </w:rPr>
        <w:t>合同期间若省里有新增表数据，需按时完成新增任务。</w:t>
      </w:r>
    </w:p>
    <w:p>
      <w:pPr>
        <w:bidi w:val="0"/>
        <w:rPr>
          <w:rFonts w:hint="eastAsia"/>
          <w:color w:val="auto"/>
          <w:lang w:val="en-US" w:eastAsia="zh-Hans"/>
        </w:rPr>
      </w:pPr>
      <w:r>
        <w:rPr>
          <w:rFonts w:hint="eastAsia"/>
          <w:color w:val="auto"/>
          <w:lang w:val="en-US" w:eastAsia="zh-Hans"/>
        </w:rPr>
        <w:t>具体业务表清单如下：</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患者基本信息数据表结构</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门诊/急诊挂号数据表结构</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门诊/急诊就诊记录表结构</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急诊留观-观察病历表结构</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急诊留观-观察病程记录表结构</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急诊留观-出观察室记录表结构</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门急诊/观察室有创操作记录表结构</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门诊/急诊/住院西药处方表结构（主表）</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门诊/急诊/住院西药处方表结构（从表）</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门诊/急诊/住院中药处方表结构（主表）</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门诊/急诊/住院中药处方表结构（从表）</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患者入院记录表结构</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住院病人医嘱记录表结构</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住院患者病程记录表结构</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患者出院记录（小结）/死亡记录表结构</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手术/操作记录表结构</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西医病案首页表结构</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检验申请记录表结构</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检验报告记录表结构（主表）</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检验结果明细表结构（从表）</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检查信息表结构</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检查申请记录表结构</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检查报告记录表结构</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治疗处置记录表结构</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患者输血申请表结构</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患者输血记录表结构</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医疗高值耗材使用记录</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门诊/急诊/住院费用表结构（主表）</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门诊/急诊/住院费用表结构（从表）</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药品入库信息记录表</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药品出库信息记录表</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耗材入库信息记录表</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耗材出库信息记录表</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入院出院患者统计数据表结构</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门诊/住院收费统计数据表结构</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门诊工作量统计数据表结构</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住院工作量统计数据表结构</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患者入院记录_天表结构</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患者出院记录（小结）/死亡记录_天表结构</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出院患者感染预警信息表结构</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检查报告指标信息表结构</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住院病人体温腹泻次数表结构</w:t>
      </w:r>
    </w:p>
    <w:p>
      <w:pPr>
        <w:pStyle w:val="16"/>
        <w:numPr>
          <w:ilvl w:val="0"/>
          <w:numId w:val="2"/>
        </w:numPr>
        <w:ind w:left="0" w:leftChars="0" w:firstLine="480" w:firstLineChars="200"/>
        <w:rPr>
          <w:rFonts w:hint="eastAsia"/>
          <w:color w:val="auto"/>
          <w:lang w:val="en-US" w:eastAsia="zh-Hans"/>
        </w:rPr>
      </w:pPr>
      <w:r>
        <w:rPr>
          <w:rFonts w:hint="eastAsia"/>
          <w:color w:val="auto"/>
          <w:lang w:val="en-US" w:eastAsia="zh-Hans"/>
        </w:rPr>
        <w:t>出院患者感染预警信息表结构</w:t>
      </w:r>
    </w:p>
    <w:p>
      <w:pPr>
        <w:pStyle w:val="5"/>
        <w:bidi w:val="0"/>
        <w:rPr>
          <w:rFonts w:hint="eastAsia"/>
          <w:color w:val="auto"/>
          <w:lang w:val="en-US" w:eastAsia="zh-Hans"/>
        </w:rPr>
      </w:pPr>
      <w:r>
        <w:rPr>
          <w:rFonts w:hint="eastAsia"/>
          <w:color w:val="auto"/>
          <w:lang w:val="en-US" w:eastAsia="zh-Hans"/>
        </w:rPr>
        <w:t>老系统数据补录</w:t>
      </w:r>
    </w:p>
    <w:p>
      <w:pPr>
        <w:bidi w:val="0"/>
        <w:rPr>
          <w:rFonts w:hint="eastAsia"/>
          <w:color w:val="auto"/>
          <w:highlight w:val="yellow"/>
        </w:rPr>
      </w:pPr>
      <w:r>
        <w:rPr>
          <w:rFonts w:hint="default"/>
          <w:color w:val="auto"/>
          <w:highlight w:val="yellow"/>
          <w:lang w:eastAsia="zh-Hans"/>
        </w:rPr>
        <w:t>投标人</w:t>
      </w:r>
      <w:r>
        <w:rPr>
          <w:rFonts w:hint="eastAsia"/>
          <w:color w:val="auto"/>
          <w:highlight w:val="yellow"/>
          <w:lang w:val="en-US" w:eastAsia="zh-Hans"/>
        </w:rPr>
        <w:t>需</w:t>
      </w:r>
      <w:r>
        <w:rPr>
          <w:rFonts w:hint="eastAsia"/>
          <w:color w:val="auto"/>
          <w:highlight w:val="yellow"/>
        </w:rPr>
        <w:t>检查201</w:t>
      </w:r>
      <w:r>
        <w:rPr>
          <w:rFonts w:hint="default"/>
          <w:color w:val="auto"/>
          <w:highlight w:val="yellow"/>
        </w:rPr>
        <w:t>9</w:t>
      </w:r>
      <w:r>
        <w:rPr>
          <w:rFonts w:hint="eastAsia"/>
          <w:color w:val="auto"/>
          <w:highlight w:val="yellow"/>
        </w:rPr>
        <w:t>年至新系统上线前</w:t>
      </w:r>
      <w:r>
        <w:rPr>
          <w:rFonts w:hint="eastAsia"/>
          <w:color w:val="auto"/>
          <w:highlight w:val="yellow"/>
          <w:lang w:val="en-US" w:eastAsia="zh-Hans"/>
        </w:rPr>
        <w:t>上传的数据</w:t>
      </w:r>
      <w:r>
        <w:rPr>
          <w:rFonts w:hint="eastAsia"/>
          <w:color w:val="auto"/>
          <w:highlight w:val="yellow"/>
        </w:rPr>
        <w:t>表是否有数据遗漏，进行数据补传。</w:t>
      </w:r>
    </w:p>
    <w:p>
      <w:pPr>
        <w:numPr>
          <w:ilvl w:val="0"/>
          <w:numId w:val="3"/>
        </w:numPr>
        <w:bidi w:val="0"/>
        <w:ind w:left="0" w:leftChars="0" w:firstLine="480" w:firstLineChars="200"/>
        <w:rPr>
          <w:rFonts w:hint="eastAsia"/>
          <w:color w:val="auto"/>
          <w:highlight w:val="yellow"/>
          <w:lang w:val="en-US" w:eastAsia="zh-CN"/>
        </w:rPr>
      </w:pPr>
      <w:r>
        <w:rPr>
          <w:rFonts w:hint="eastAsia"/>
          <w:color w:val="auto"/>
          <w:highlight w:val="yellow"/>
          <w:lang w:val="en-US" w:eastAsia="zh-CN"/>
        </w:rPr>
        <w:t>重建或补充业务表（含省厅码表对应转换）</w:t>
      </w:r>
      <w:r>
        <w:rPr>
          <w:rFonts w:hint="eastAsia"/>
          <w:color w:val="auto"/>
          <w:highlight w:val="yellow"/>
          <w:lang w:val="en-US" w:eastAsia="zh-Hans"/>
        </w:rPr>
        <w:t>；</w:t>
      </w:r>
    </w:p>
    <w:p>
      <w:pPr>
        <w:numPr>
          <w:ilvl w:val="0"/>
          <w:numId w:val="3"/>
        </w:numPr>
        <w:bidi w:val="0"/>
        <w:ind w:left="0" w:leftChars="0" w:firstLine="480" w:firstLineChars="200"/>
        <w:rPr>
          <w:rFonts w:hint="eastAsia"/>
          <w:color w:val="auto"/>
          <w:highlight w:val="yellow"/>
          <w:lang w:val="en-US" w:eastAsia="zh-CN"/>
        </w:rPr>
      </w:pPr>
      <w:bookmarkStart w:id="0" w:name="bookmark37"/>
      <w:bookmarkEnd w:id="0"/>
      <w:r>
        <w:rPr>
          <w:rFonts w:hint="eastAsia"/>
          <w:color w:val="auto"/>
          <w:highlight w:val="yellow"/>
          <w:lang w:val="en-US" w:eastAsia="zh-CN"/>
        </w:rPr>
        <w:t>重建或补充业务表涉及的所有码表，包含重建、辅助、检査、整理码表</w:t>
      </w:r>
      <w:r>
        <w:rPr>
          <w:rFonts w:hint="eastAsia"/>
          <w:color w:val="auto"/>
          <w:highlight w:val="yellow"/>
          <w:lang w:val="en-US" w:eastAsia="zh-Hans"/>
        </w:rPr>
        <w:t>（</w:t>
      </w:r>
      <w:r>
        <w:rPr>
          <w:rFonts w:hint="eastAsia"/>
          <w:color w:val="auto"/>
          <w:highlight w:val="yellow"/>
          <w:lang w:val="en-US" w:eastAsia="zh-CN"/>
        </w:rPr>
        <w:t>码表对照工作由医院负责）。</w:t>
      </w:r>
    </w:p>
    <w:p>
      <w:pPr>
        <w:pStyle w:val="5"/>
        <w:bidi w:val="0"/>
        <w:rPr>
          <w:rFonts w:hint="eastAsia"/>
          <w:color w:val="auto"/>
          <w:lang w:val="en-US" w:eastAsia="zh-Hans"/>
        </w:rPr>
      </w:pPr>
      <w:bookmarkStart w:id="1" w:name="bookmark38"/>
      <w:bookmarkEnd w:id="1"/>
      <w:r>
        <w:rPr>
          <w:rFonts w:hint="eastAsia"/>
          <w:color w:val="auto"/>
          <w:lang w:val="en-US" w:eastAsia="zh-Hans"/>
        </w:rPr>
        <w:t>数据清理与补传</w:t>
      </w:r>
    </w:p>
    <w:p>
      <w:pPr>
        <w:bidi w:val="0"/>
        <w:rPr>
          <w:rFonts w:hint="eastAsia"/>
          <w:color w:val="auto"/>
          <w:lang w:val="en-US" w:eastAsia="zh-Hans"/>
        </w:rPr>
      </w:pPr>
      <w:r>
        <w:rPr>
          <w:rFonts w:hint="default"/>
          <w:color w:val="auto"/>
          <w:lang w:eastAsia="zh-Hans"/>
        </w:rPr>
        <w:t>投标人</w:t>
      </w:r>
      <w:r>
        <w:rPr>
          <w:rFonts w:hint="eastAsia"/>
          <w:color w:val="auto"/>
          <w:lang w:val="en-US" w:eastAsia="zh-Hans"/>
        </w:rPr>
        <w:t>需根据以下两种情况进行数据的清理与补传：</w:t>
      </w:r>
    </w:p>
    <w:p>
      <w:pPr>
        <w:numPr>
          <w:ilvl w:val="0"/>
          <w:numId w:val="4"/>
        </w:numPr>
        <w:bidi w:val="0"/>
        <w:ind w:left="0" w:leftChars="0" w:firstLine="480" w:firstLineChars="200"/>
        <w:rPr>
          <w:rFonts w:hint="eastAsia"/>
          <w:color w:val="auto"/>
        </w:rPr>
      </w:pPr>
      <w:r>
        <w:rPr>
          <w:rFonts w:hint="eastAsia"/>
          <w:color w:val="auto"/>
        </w:rPr>
        <w:t>新老系统过渡期间数据补传；</w:t>
      </w:r>
    </w:p>
    <w:p>
      <w:pPr>
        <w:numPr>
          <w:ilvl w:val="0"/>
          <w:numId w:val="4"/>
        </w:numPr>
        <w:bidi w:val="0"/>
        <w:ind w:left="0" w:leftChars="0" w:firstLine="480" w:firstLineChars="200"/>
        <w:rPr>
          <w:rFonts w:hint="eastAsia"/>
          <w:color w:val="auto"/>
          <w:lang w:val="en-US" w:eastAsia="zh-Hans"/>
        </w:rPr>
      </w:pPr>
      <w:r>
        <w:rPr>
          <w:rFonts w:hint="eastAsia"/>
          <w:color w:val="auto"/>
        </w:rPr>
        <w:t>新系统上线后到双方合同签订期间数据补传</w:t>
      </w:r>
      <w:r>
        <w:rPr>
          <w:rFonts w:hint="eastAsia"/>
          <w:color w:val="auto"/>
          <w:lang w:eastAsia="zh-Hans"/>
        </w:rPr>
        <w:t>。</w:t>
      </w:r>
    </w:p>
    <w:p>
      <w:pPr>
        <w:pStyle w:val="5"/>
        <w:bidi w:val="0"/>
        <w:rPr>
          <w:rFonts w:hint="eastAsia"/>
          <w:color w:val="auto"/>
          <w:lang w:val="en-US" w:eastAsia="zh-Hans"/>
        </w:rPr>
      </w:pPr>
      <w:r>
        <w:rPr>
          <w:rFonts w:hint="eastAsia"/>
          <w:color w:val="auto"/>
          <w:lang w:val="en-US" w:eastAsia="zh-Hans"/>
        </w:rPr>
        <w:t>数据检查与上传</w:t>
      </w:r>
    </w:p>
    <w:p>
      <w:pPr>
        <w:bidi w:val="0"/>
        <w:rPr>
          <w:rFonts w:hint="eastAsia"/>
          <w:color w:val="auto"/>
          <w:lang w:val="en-US" w:eastAsia="zh-Hans"/>
        </w:rPr>
      </w:pPr>
      <w:r>
        <w:rPr>
          <w:rFonts w:hint="default"/>
          <w:color w:val="auto"/>
          <w:lang w:eastAsia="zh-Hans"/>
        </w:rPr>
        <w:t>投标人</w:t>
      </w:r>
      <w:r>
        <w:rPr>
          <w:rFonts w:hint="eastAsia"/>
          <w:color w:val="auto"/>
          <w:lang w:val="en-US" w:eastAsia="zh-Hans"/>
        </w:rPr>
        <w:t>需进行每天定时数据检查</w:t>
      </w:r>
      <w:r>
        <w:rPr>
          <w:rFonts w:hint="eastAsia"/>
          <w:color w:val="auto"/>
          <w:lang w:val="en-US" w:eastAsia="zh-CN"/>
        </w:rPr>
        <w:t>与</w:t>
      </w:r>
      <w:r>
        <w:rPr>
          <w:rFonts w:hint="eastAsia"/>
          <w:color w:val="auto"/>
          <w:lang w:val="en-US" w:eastAsia="zh-Hans"/>
        </w:rPr>
        <w:t>上传：</w:t>
      </w:r>
    </w:p>
    <w:p>
      <w:pPr>
        <w:numPr>
          <w:ilvl w:val="0"/>
          <w:numId w:val="5"/>
        </w:numPr>
        <w:bidi w:val="0"/>
        <w:ind w:left="0" w:leftChars="0" w:firstLine="480" w:firstLineChars="200"/>
        <w:rPr>
          <w:rFonts w:hint="eastAsia"/>
          <w:color w:val="auto"/>
          <w:lang w:val="en-US" w:eastAsia="zh-CN"/>
        </w:rPr>
      </w:pPr>
      <w:r>
        <w:rPr>
          <w:rFonts w:hint="eastAsia"/>
          <w:color w:val="auto"/>
          <w:lang w:val="en-US" w:eastAsia="zh-CN"/>
        </w:rPr>
        <w:t>数据基础检查、校验后生成错误报吿，并辅助医院对数据进行整改</w:t>
      </w:r>
      <w:r>
        <w:rPr>
          <w:rFonts w:hint="eastAsia"/>
          <w:color w:val="auto"/>
          <w:lang w:val="en-US" w:eastAsia="zh-Hans"/>
        </w:rPr>
        <w:t>；</w:t>
      </w:r>
    </w:p>
    <w:p>
      <w:pPr>
        <w:numPr>
          <w:ilvl w:val="0"/>
          <w:numId w:val="5"/>
        </w:numPr>
        <w:bidi w:val="0"/>
        <w:ind w:left="0" w:leftChars="0" w:firstLine="480" w:firstLineChars="200"/>
        <w:rPr>
          <w:rFonts w:hint="eastAsia"/>
          <w:color w:val="auto"/>
          <w:lang w:val="en-US" w:eastAsia="zh-CN"/>
        </w:rPr>
      </w:pPr>
      <w:r>
        <w:rPr>
          <w:rFonts w:hint="eastAsia"/>
          <w:color w:val="auto"/>
          <w:lang w:val="en-US" w:eastAsia="zh-CN"/>
        </w:rPr>
        <w:t>根据省厅检査报告，辅助医院对数据质量进行整改</w:t>
      </w:r>
      <w:r>
        <w:rPr>
          <w:rFonts w:hint="eastAsia"/>
          <w:color w:val="auto"/>
          <w:lang w:val="en-US" w:eastAsia="zh-Hans"/>
        </w:rPr>
        <w:t>；</w:t>
      </w:r>
    </w:p>
    <w:p>
      <w:pPr>
        <w:pStyle w:val="5"/>
        <w:bidi w:val="0"/>
        <w:rPr>
          <w:rFonts w:hint="eastAsia"/>
          <w:color w:val="auto"/>
          <w:lang w:val="en-US" w:eastAsia="zh-Hans"/>
        </w:rPr>
      </w:pPr>
      <w:r>
        <w:rPr>
          <w:rFonts w:hint="eastAsia"/>
          <w:color w:val="auto"/>
          <w:lang w:val="en-US" w:eastAsia="zh-Hans"/>
        </w:rPr>
        <w:t>数据量核对</w:t>
      </w:r>
    </w:p>
    <w:p>
      <w:pPr>
        <w:bidi w:val="0"/>
        <w:rPr>
          <w:rFonts w:hint="eastAsia"/>
          <w:color w:val="auto"/>
          <w:lang w:val="en-US" w:eastAsia="zh-Hans"/>
        </w:rPr>
      </w:pPr>
      <w:r>
        <w:rPr>
          <w:rFonts w:hint="eastAsia"/>
          <w:color w:val="auto"/>
          <w:lang w:val="en-US" w:eastAsia="zh-Hans"/>
        </w:rPr>
        <w:t>投标人需从院端数据抽取、数据入库两个环节分析比较医院实际业务数据量和抽取后数据量比对，保证抽取后的数据量反应医院实际业务情况；</w:t>
      </w:r>
    </w:p>
    <w:p>
      <w:pPr>
        <w:bidi w:val="0"/>
        <w:rPr>
          <w:rFonts w:hint="eastAsia"/>
          <w:color w:val="auto"/>
          <w:lang w:val="en-US" w:eastAsia="zh-CN"/>
        </w:rPr>
      </w:pPr>
      <w:r>
        <w:rPr>
          <w:rFonts w:hint="eastAsia"/>
          <w:color w:val="auto"/>
          <w:lang w:val="en-US" w:eastAsia="zh-CN"/>
        </w:rPr>
        <w:t>实时同步“医院内部己完成对照的码表库</w:t>
      </w:r>
      <w:r>
        <w:rPr>
          <w:rFonts w:hint="eastAsia"/>
          <w:color w:val="auto"/>
          <w:lang w:val="zh-CN" w:eastAsia="zh-CN"/>
        </w:rPr>
        <w:t>”与“上</w:t>
      </w:r>
      <w:r>
        <w:rPr>
          <w:rFonts w:hint="eastAsia"/>
          <w:color w:val="auto"/>
          <w:lang w:val="en-US" w:eastAsia="zh-CN"/>
        </w:rPr>
        <w:t>传数据库中的码表库</w:t>
      </w:r>
      <w:r>
        <w:rPr>
          <w:rFonts w:hint="eastAsia"/>
          <w:color w:val="auto"/>
          <w:lang w:val="zh-CN" w:eastAsia="zh-CN"/>
        </w:rPr>
        <w:t>”保持</w:t>
      </w:r>
      <w:r>
        <w:rPr>
          <w:rFonts w:hint="eastAsia"/>
          <w:color w:val="auto"/>
          <w:lang w:val="en-US" w:eastAsia="zh-CN"/>
        </w:rPr>
        <w:t>一致。</w:t>
      </w:r>
    </w:p>
    <w:p>
      <w:pPr>
        <w:pStyle w:val="5"/>
        <w:bidi w:val="0"/>
        <w:rPr>
          <w:rFonts w:hint="eastAsia"/>
          <w:color w:val="auto"/>
          <w:lang w:val="en-US" w:eastAsia="zh-Hans"/>
        </w:rPr>
      </w:pPr>
      <w:r>
        <w:rPr>
          <w:rFonts w:hint="eastAsia"/>
          <w:color w:val="auto"/>
          <w:lang w:val="en-US" w:eastAsia="zh-Hans"/>
        </w:rPr>
        <w:t>沟通协调</w:t>
      </w:r>
    </w:p>
    <w:p>
      <w:pPr>
        <w:bidi w:val="0"/>
        <w:rPr>
          <w:rFonts w:hint="eastAsia"/>
          <w:color w:val="auto"/>
          <w:lang w:val="en-US" w:eastAsia="zh-Hans"/>
        </w:rPr>
      </w:pPr>
      <w:r>
        <w:rPr>
          <w:rFonts w:hint="eastAsia"/>
          <w:color w:val="auto"/>
          <w:lang w:val="en-US" w:eastAsia="zh-Hans"/>
        </w:rPr>
        <w:t>如果在数据上传过程中发现数据源有问题，</w:t>
      </w:r>
      <w:r>
        <w:rPr>
          <w:rFonts w:hint="default"/>
          <w:color w:val="auto"/>
          <w:lang w:eastAsia="zh-Hans"/>
        </w:rPr>
        <w:t>投标人</w:t>
      </w:r>
      <w:r>
        <w:rPr>
          <w:rFonts w:hint="eastAsia"/>
          <w:color w:val="auto"/>
          <w:lang w:val="en-US" w:eastAsia="zh-Hans"/>
        </w:rPr>
        <w:t>需协调业务系统厂商配合并进行对应整改后进行数据抽取。</w:t>
      </w:r>
    </w:p>
    <w:p>
      <w:pPr>
        <w:pStyle w:val="5"/>
        <w:tabs>
          <w:tab w:val="left" w:pos="851"/>
        </w:tabs>
        <w:bidi w:val="0"/>
        <w:rPr>
          <w:rFonts w:hint="eastAsia"/>
          <w:color w:val="auto"/>
          <w:lang w:val="en-US" w:eastAsia="zh-Hans"/>
        </w:rPr>
      </w:pPr>
      <w:r>
        <w:rPr>
          <w:rFonts w:hint="eastAsia"/>
          <w:color w:val="auto"/>
          <w:lang w:val="en-US" w:eastAsia="zh-Hans"/>
        </w:rPr>
        <w:t>对码工具培训需求</w:t>
      </w:r>
    </w:p>
    <w:p>
      <w:pPr>
        <w:bidi w:val="0"/>
        <w:rPr>
          <w:rFonts w:hint="eastAsia"/>
          <w:color w:val="auto"/>
          <w:lang w:val="en-US" w:eastAsia="zh-Hans"/>
        </w:rPr>
      </w:pPr>
      <w:r>
        <w:rPr>
          <w:rFonts w:hint="eastAsia"/>
          <w:color w:val="auto"/>
          <w:lang w:val="en-US" w:eastAsia="zh-Hans"/>
        </w:rPr>
        <w:t>目前医院已有对码工具，医院码表对照工作由医院工作人员完成，</w:t>
      </w:r>
      <w:r>
        <w:rPr>
          <w:rFonts w:hint="default"/>
          <w:color w:val="auto"/>
          <w:lang w:eastAsia="zh-Hans"/>
        </w:rPr>
        <w:t>投标人</w:t>
      </w:r>
      <w:r>
        <w:rPr>
          <w:rFonts w:hint="eastAsia"/>
          <w:color w:val="auto"/>
          <w:lang w:val="en-US" w:eastAsia="zh-Hans"/>
        </w:rPr>
        <w:t>需要在医院遇到问题时协助医院按照标准进行值域转换工作，如：过敏药物、ABO血型、Rh（D）血型、离院方式、方位信息、特殊病例、科室字典、检查部位、异常提示、麻醉方式、手术等级、手术切口分类、手术切开愈合、ICD9等各类类值域字典。</w:t>
      </w:r>
    </w:p>
    <w:p>
      <w:pPr>
        <w:bidi w:val="0"/>
        <w:rPr>
          <w:rFonts w:hint="eastAsia"/>
          <w:color w:val="auto"/>
          <w:lang w:val="en-US" w:eastAsia="zh-Hans"/>
        </w:rPr>
      </w:pPr>
      <w:r>
        <w:rPr>
          <w:rFonts w:hint="eastAsia"/>
          <w:color w:val="auto"/>
          <w:lang w:val="en-US" w:eastAsia="zh-Hans"/>
        </w:rPr>
        <w:t>为了保障项目的延续性，在项目服务期间内</w:t>
      </w:r>
      <w:r>
        <w:rPr>
          <w:rFonts w:hint="default"/>
          <w:color w:val="auto"/>
          <w:lang w:eastAsia="zh-Hans"/>
        </w:rPr>
        <w:t>投标人</w:t>
      </w:r>
      <w:r>
        <w:rPr>
          <w:rFonts w:hint="eastAsia"/>
          <w:color w:val="auto"/>
          <w:lang w:val="en-US" w:eastAsia="zh-Hans"/>
        </w:rPr>
        <w:t>需培训医院相关人员使用对码工具</w:t>
      </w:r>
      <w:r>
        <w:rPr>
          <w:rFonts w:hint="eastAsia"/>
          <w:color w:val="auto"/>
          <w:lang w:eastAsia="zh-Hans"/>
        </w:rPr>
        <w:t>，</w:t>
      </w:r>
      <w:r>
        <w:rPr>
          <w:rFonts w:hint="eastAsia"/>
          <w:color w:val="auto"/>
          <w:lang w:val="en-US" w:eastAsia="zh-Hans"/>
        </w:rPr>
        <w:t>直至医院相关科室人员会独立使用对码工具。</w:t>
      </w:r>
      <w:r>
        <w:rPr>
          <w:rFonts w:hint="default"/>
          <w:color w:val="auto"/>
          <w:lang w:eastAsia="zh-Hans"/>
        </w:rPr>
        <w:t>投标人</w:t>
      </w:r>
      <w:r>
        <w:rPr>
          <w:rFonts w:hint="eastAsia"/>
          <w:color w:val="auto"/>
          <w:lang w:val="en-US" w:eastAsia="zh-Hans"/>
        </w:rPr>
        <w:t>需在项目服务期结束时为医院提供对码工具的操作文档。</w:t>
      </w:r>
    </w:p>
    <w:p>
      <w:pPr>
        <w:pStyle w:val="3"/>
        <w:bidi w:val="0"/>
        <w:rPr>
          <w:rFonts w:hint="default"/>
          <w:color w:val="auto"/>
          <w:lang w:val="en-US" w:eastAsia="zh-Hans"/>
        </w:rPr>
      </w:pPr>
      <w:r>
        <w:rPr>
          <w:rFonts w:hint="eastAsia"/>
          <w:color w:val="auto"/>
          <w:lang w:val="en-US" w:eastAsia="zh-Hans"/>
        </w:rPr>
        <w:t>项目服务要求</w:t>
      </w:r>
    </w:p>
    <w:p>
      <w:pPr>
        <w:numPr>
          <w:ilvl w:val="0"/>
          <w:numId w:val="6"/>
        </w:numPr>
        <w:bidi w:val="0"/>
        <w:ind w:left="240" w:leftChars="100" w:firstLine="240" w:firstLineChars="100"/>
        <w:rPr>
          <w:rFonts w:hint="eastAsia"/>
          <w:color w:val="auto"/>
        </w:rPr>
      </w:pPr>
      <w:r>
        <w:rPr>
          <w:rFonts w:hint="eastAsia"/>
          <w:color w:val="auto"/>
        </w:rPr>
        <w:t>本项目服务有效期为</w:t>
      </w:r>
      <w:r>
        <w:rPr>
          <w:rFonts w:hint="eastAsia"/>
          <w:color w:val="auto"/>
          <w:lang w:val="en-US" w:eastAsia="zh-CN"/>
        </w:rPr>
        <w:t>一</w:t>
      </w:r>
      <w:r>
        <w:rPr>
          <w:rFonts w:hint="eastAsia"/>
          <w:color w:val="auto"/>
        </w:rPr>
        <w:t>年</w:t>
      </w:r>
      <w:r>
        <w:rPr>
          <w:rFonts w:hint="eastAsia"/>
          <w:color w:val="auto"/>
          <w:lang w:eastAsia="zh-Hans"/>
        </w:rPr>
        <w:t>。</w:t>
      </w:r>
    </w:p>
    <w:p>
      <w:pPr>
        <w:numPr>
          <w:ilvl w:val="0"/>
          <w:numId w:val="6"/>
        </w:numPr>
        <w:bidi w:val="0"/>
        <w:ind w:left="240" w:leftChars="100" w:firstLine="240" w:firstLineChars="100"/>
        <w:rPr>
          <w:rFonts w:hint="eastAsia"/>
          <w:color w:val="auto"/>
        </w:rPr>
      </w:pPr>
      <w:r>
        <w:rPr>
          <w:rFonts w:hint="eastAsia"/>
          <w:color w:val="auto"/>
        </w:rPr>
        <w:t>成交后</w:t>
      </w:r>
      <w:r>
        <w:rPr>
          <w:rFonts w:hint="default"/>
          <w:color w:val="auto"/>
        </w:rPr>
        <w:t>投标</w:t>
      </w:r>
      <w:r>
        <w:rPr>
          <w:rFonts w:hint="eastAsia"/>
          <w:color w:val="auto"/>
          <w:lang w:val="en-US" w:eastAsia="zh-Hans"/>
        </w:rPr>
        <w:t>人</w:t>
      </w:r>
      <w:r>
        <w:rPr>
          <w:rFonts w:hint="eastAsia"/>
          <w:color w:val="auto"/>
        </w:rPr>
        <w:t>需提供7*24小时技术响应支持，项目将以远程服务为主，必要时</w:t>
      </w:r>
      <w:r>
        <w:rPr>
          <w:rFonts w:hint="default"/>
          <w:color w:val="auto"/>
        </w:rPr>
        <w:t>投标</w:t>
      </w:r>
      <w:r>
        <w:rPr>
          <w:rFonts w:hint="eastAsia"/>
          <w:color w:val="auto"/>
          <w:lang w:val="en-US" w:eastAsia="zh-Hans"/>
        </w:rPr>
        <w:t>人</w:t>
      </w:r>
      <w:r>
        <w:rPr>
          <w:rFonts w:hint="eastAsia"/>
          <w:color w:val="auto"/>
        </w:rPr>
        <w:t>需提供现场服务，服务方式包含但不限于电话、电子邮件、微信等。</w:t>
      </w:r>
      <w:r>
        <w:rPr>
          <w:rFonts w:hint="default"/>
          <w:color w:val="auto"/>
        </w:rPr>
        <w:t>投标</w:t>
      </w:r>
      <w:r>
        <w:rPr>
          <w:rFonts w:hint="eastAsia"/>
          <w:color w:val="auto"/>
          <w:lang w:val="en-US" w:eastAsia="zh-Hans"/>
        </w:rPr>
        <w:t>人</w:t>
      </w:r>
      <w:r>
        <w:rPr>
          <w:rFonts w:hint="eastAsia"/>
          <w:color w:val="auto"/>
        </w:rPr>
        <w:t>在收到通知后</w:t>
      </w:r>
      <w:r>
        <w:rPr>
          <w:rFonts w:hint="eastAsia"/>
          <w:color w:val="auto"/>
          <w:lang w:val="en-US" w:eastAsia="zh-CN"/>
        </w:rPr>
        <w:t>30分钟</w:t>
      </w:r>
      <w:r>
        <w:rPr>
          <w:rFonts w:hint="eastAsia"/>
          <w:color w:val="auto"/>
        </w:rPr>
        <w:t>内响应，</w:t>
      </w:r>
      <w:r>
        <w:rPr>
          <w:rFonts w:hint="eastAsia"/>
          <w:color w:val="auto"/>
          <w:lang w:val="en-US" w:eastAsia="zh-CN"/>
        </w:rPr>
        <w:t>2小时内诊断产品运行故障并提供处理意见，</w:t>
      </w:r>
      <w:r>
        <w:rPr>
          <w:rFonts w:hint="eastAsia"/>
          <w:color w:val="auto"/>
        </w:rPr>
        <w:t>并在24小时内完成全部维修工作。</w:t>
      </w:r>
    </w:p>
    <w:p>
      <w:pPr>
        <w:pStyle w:val="2"/>
        <w:numPr>
          <w:ilvl w:val="0"/>
          <w:numId w:val="6"/>
        </w:numPr>
        <w:ind w:left="240" w:leftChars="100" w:firstLine="240" w:firstLineChars="100"/>
        <w:rPr>
          <w:rFonts w:hint="default" w:eastAsia="仿宋" w:asciiTheme="minorAscii" w:hAnsiTheme="minorAscii" w:cstheme="minorBidi"/>
          <w:color w:val="auto"/>
          <w:kern w:val="2"/>
          <w:sz w:val="24"/>
          <w:szCs w:val="24"/>
          <w:lang w:val="en-US" w:eastAsia="zh-CN" w:bidi="ar-SA"/>
        </w:rPr>
      </w:pPr>
      <w:r>
        <w:rPr>
          <w:rFonts w:hint="eastAsia" w:eastAsia="仿宋" w:asciiTheme="minorAscii" w:hAnsiTheme="minorAscii" w:cstheme="minorBidi"/>
          <w:color w:val="auto"/>
          <w:kern w:val="2"/>
          <w:sz w:val="24"/>
          <w:szCs w:val="24"/>
          <w:lang w:val="en-US" w:eastAsia="zh-CN" w:bidi="ar-SA"/>
        </w:rPr>
        <w:t>每个月针对上个月省监管平台的同步数据以及采集工具采集情况，出具包含存在的问题、原因分析、处理意见的分析报告。</w:t>
      </w:r>
    </w:p>
    <w:p>
      <w:pPr>
        <w:numPr>
          <w:ilvl w:val="0"/>
          <w:numId w:val="6"/>
        </w:numPr>
        <w:bidi w:val="0"/>
        <w:ind w:left="240" w:leftChars="100" w:firstLine="240" w:firstLineChars="100"/>
        <w:rPr>
          <w:rFonts w:hint="eastAsia"/>
          <w:color w:val="auto"/>
          <w:lang w:val="en-US" w:eastAsia="zh-CN"/>
        </w:rPr>
      </w:pPr>
      <w:r>
        <w:rPr>
          <w:rFonts w:hint="eastAsia"/>
          <w:color w:val="auto"/>
          <w:lang w:val="en-US" w:eastAsia="zh-CN"/>
        </w:rPr>
        <w:t>按要求完成服务内容，并按时提供相关分析报告。</w:t>
      </w:r>
    </w:p>
    <w:p>
      <w:pPr>
        <w:numPr>
          <w:ilvl w:val="0"/>
          <w:numId w:val="6"/>
        </w:numPr>
        <w:bidi w:val="0"/>
        <w:ind w:left="240" w:leftChars="100" w:firstLine="240" w:firstLineChars="100"/>
        <w:rPr>
          <w:rFonts w:hint="eastAsia"/>
          <w:color w:val="auto"/>
          <w:lang w:val="en-US" w:eastAsia="zh-CN"/>
        </w:rPr>
      </w:pPr>
      <w:r>
        <w:rPr>
          <w:rFonts w:hint="eastAsia"/>
          <w:color w:val="auto"/>
          <w:lang w:val="en-US" w:eastAsia="zh-CN"/>
        </w:rPr>
        <w:t>上级部门有新的相关工作任务时</w:t>
      </w:r>
      <w:bookmarkStart w:id="2" w:name="_GoBack"/>
      <w:bookmarkEnd w:id="2"/>
      <w:r>
        <w:rPr>
          <w:rFonts w:hint="eastAsia"/>
          <w:color w:val="auto"/>
          <w:lang w:val="en-US" w:eastAsia="zh-CN"/>
        </w:rPr>
        <w:t>，需严格按照医院的进度安排，及上级部门的时间节点完成。</w:t>
      </w:r>
    </w:p>
    <w:p>
      <w:pPr>
        <w:pStyle w:val="2"/>
        <w:ind w:left="240" w:leftChars="100" w:firstLine="280" w:firstLineChars="100"/>
        <w:rPr>
          <w:rFonts w:hint="eastAsia"/>
          <w:color w:val="auto"/>
          <w:lang w:val="en-US" w:eastAsia="zh-CN"/>
        </w:rPr>
      </w:pPr>
    </w:p>
    <w:p>
      <w:pPr>
        <w:pStyle w:val="16"/>
        <w:rPr>
          <w:rFonts w:hint="eastAsia"/>
          <w:color w:val="auto"/>
        </w:rPr>
      </w:pPr>
    </w:p>
    <w:p>
      <w:pPr>
        <w:rPr>
          <w:color w:val="auto"/>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DejaVu Sans">
    <w:altName w:val="Times New Roman"/>
    <w:panose1 w:val="02020603050405020304"/>
    <w:charset w:val="00"/>
    <w:family w:val="roman"/>
    <w:pitch w:val="default"/>
    <w:sig w:usb0="00000000" w:usb1="00000000" w:usb2="00000008" w:usb3="00000000" w:csb0="000001FF" w:csb1="00000000"/>
  </w:font>
  <w:font w:name="方正黑体_GBK">
    <w:altName w:val="Arial Unicode MS"/>
    <w:panose1 w:val="02000000000000000000"/>
    <w:charset w:val="00"/>
    <w:family w:val="auto"/>
    <w:pitch w:val="default"/>
    <w:sig w:usb0="00000000" w:usb1="00000000" w:usb2="00000000" w:usb3="00000000" w:csb0="00040000" w:csb1="00000000"/>
  </w:font>
  <w:font w:name="Helvetica">
    <w:altName w:val="Arial"/>
    <w:panose1 w:val="00000000000000000000"/>
    <w:charset w:val="00"/>
    <w:family w:val="swiss"/>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6B2C8B"/>
    <w:multiLevelType w:val="multilevel"/>
    <w:tmpl w:val="D16B2C8B"/>
    <w:lvl w:ilvl="0" w:tentative="0">
      <w:start w:val="1"/>
      <w:numFmt w:val="decimal"/>
      <w:pStyle w:val="3"/>
      <w:lvlText w:val="%1."/>
      <w:lvlJc w:val="left"/>
      <w:pPr>
        <w:ind w:left="432"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pStyle w:val="5"/>
      <w:lvlText w:val="%1.%2.%3."/>
      <w:lvlJc w:val="left"/>
      <w:pPr>
        <w:ind w:left="720" w:hanging="720"/>
      </w:pPr>
      <w:rPr>
        <w:rFonts w:hint="default"/>
      </w:rPr>
    </w:lvl>
    <w:lvl w:ilvl="3" w:tentative="0">
      <w:start w:val="1"/>
      <w:numFmt w:val="decimal"/>
      <w:pStyle w:val="6"/>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abstractNum w:abstractNumId="1">
    <w:nsid w:val="DDCFD214"/>
    <w:multiLevelType w:val="singleLevel"/>
    <w:tmpl w:val="DDCFD214"/>
    <w:lvl w:ilvl="0" w:tentative="0">
      <w:start w:val="1"/>
      <w:numFmt w:val="decimal"/>
      <w:suff w:val="nothing"/>
      <w:lvlText w:val="%1．"/>
      <w:lvlJc w:val="left"/>
      <w:pPr>
        <w:ind w:left="240" w:firstLine="400"/>
      </w:pPr>
      <w:rPr>
        <w:rFonts w:hint="default"/>
      </w:rPr>
    </w:lvl>
  </w:abstractNum>
  <w:abstractNum w:abstractNumId="2">
    <w:nsid w:val="EFFF0DAC"/>
    <w:multiLevelType w:val="singleLevel"/>
    <w:tmpl w:val="EFFF0DAC"/>
    <w:lvl w:ilvl="0" w:tentative="0">
      <w:start w:val="1"/>
      <w:numFmt w:val="decimal"/>
      <w:suff w:val="nothing"/>
      <w:lvlText w:val="%1．"/>
      <w:lvlJc w:val="left"/>
      <w:pPr>
        <w:ind w:left="0" w:firstLine="400"/>
      </w:pPr>
      <w:rPr>
        <w:rFonts w:hint="default"/>
      </w:rPr>
    </w:lvl>
  </w:abstractNum>
  <w:abstractNum w:abstractNumId="3">
    <w:nsid w:val="F97F042B"/>
    <w:multiLevelType w:val="singleLevel"/>
    <w:tmpl w:val="F97F042B"/>
    <w:lvl w:ilvl="0" w:tentative="0">
      <w:start w:val="1"/>
      <w:numFmt w:val="decimal"/>
      <w:suff w:val="nothing"/>
      <w:lvlText w:val="%1．"/>
      <w:lvlJc w:val="left"/>
      <w:pPr>
        <w:ind w:left="0" w:firstLine="400"/>
      </w:pPr>
      <w:rPr>
        <w:rFonts w:hint="default"/>
      </w:rPr>
    </w:lvl>
  </w:abstractNum>
  <w:abstractNum w:abstractNumId="4">
    <w:nsid w:val="FD869DAC"/>
    <w:multiLevelType w:val="singleLevel"/>
    <w:tmpl w:val="FD869DAC"/>
    <w:lvl w:ilvl="0" w:tentative="0">
      <w:start w:val="1"/>
      <w:numFmt w:val="decimal"/>
      <w:suff w:val="nothing"/>
      <w:lvlText w:val="%1．"/>
      <w:lvlJc w:val="left"/>
      <w:pPr>
        <w:ind w:left="0" w:firstLine="400"/>
      </w:pPr>
      <w:rPr>
        <w:rFonts w:hint="default"/>
      </w:rPr>
    </w:lvl>
  </w:abstractNum>
  <w:abstractNum w:abstractNumId="5">
    <w:nsid w:val="7DFA28C5"/>
    <w:multiLevelType w:val="singleLevel"/>
    <w:tmpl w:val="7DFA28C5"/>
    <w:lvl w:ilvl="0" w:tentative="0">
      <w:start w:val="1"/>
      <w:numFmt w:val="decimal"/>
      <w:suff w:val="nothing"/>
      <w:lvlText w:val="%1．"/>
      <w:lvlJc w:val="left"/>
      <w:pPr>
        <w:ind w:left="0" w:firstLine="400"/>
      </w:pPr>
      <w:rPr>
        <w:rFont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zMTRlNzVmOGM1NGYwZWIwZDRmZmY3Mjk0MDkwMTYifQ=="/>
  </w:docVars>
  <w:rsids>
    <w:rsidRoot w:val="9BB9B75E"/>
    <w:rsid w:val="03FF7DD2"/>
    <w:rsid w:val="0ECB78DC"/>
    <w:rsid w:val="11847C41"/>
    <w:rsid w:val="17F74D32"/>
    <w:rsid w:val="26254789"/>
    <w:rsid w:val="40D23C76"/>
    <w:rsid w:val="5EF78B60"/>
    <w:rsid w:val="63FB576B"/>
    <w:rsid w:val="6F8B290E"/>
    <w:rsid w:val="72971762"/>
    <w:rsid w:val="7C7750EE"/>
    <w:rsid w:val="7CB5C239"/>
    <w:rsid w:val="7DCF65F0"/>
    <w:rsid w:val="7FFF7AB6"/>
    <w:rsid w:val="92E6885D"/>
    <w:rsid w:val="9BB9B75E"/>
    <w:rsid w:val="DD7A5112"/>
    <w:rsid w:val="DDDD305A"/>
    <w:rsid w:val="EFEA07EA"/>
    <w:rsid w:val="EFFB0B8E"/>
    <w:rsid w:val="EFFF4052"/>
    <w:rsid w:val="F7F7538A"/>
    <w:rsid w:val="FB7F07D3"/>
    <w:rsid w:val="FCECBFA9"/>
    <w:rsid w:val="FE73A59F"/>
    <w:rsid w:val="FFFFC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1" w:firstLineChars="200"/>
      <w:jc w:val="both"/>
    </w:pPr>
    <w:rPr>
      <w:rFonts w:eastAsia="仿宋" w:asciiTheme="minorAscii" w:hAnsiTheme="minorAscii" w:cstheme="minorBidi"/>
      <w:kern w:val="2"/>
      <w:sz w:val="24"/>
      <w:szCs w:val="24"/>
      <w:lang w:val="en-US" w:eastAsia="zh-CN" w:bidi="ar-SA"/>
    </w:rPr>
  </w:style>
  <w:style w:type="paragraph" w:styleId="3">
    <w:name w:val="heading 1"/>
    <w:basedOn w:val="1"/>
    <w:next w:val="1"/>
    <w:qFormat/>
    <w:uiPriority w:val="0"/>
    <w:pPr>
      <w:keepNext/>
      <w:keepLines/>
      <w:numPr>
        <w:ilvl w:val="0"/>
        <w:numId w:val="1"/>
      </w:numPr>
      <w:spacing w:before="340" w:beforeLines="0" w:beforeAutospacing="0" w:after="330" w:afterLines="0" w:afterAutospacing="0" w:line="576" w:lineRule="auto"/>
      <w:ind w:hanging="432" w:firstLineChars="0"/>
      <w:outlineLvl w:val="0"/>
    </w:pPr>
    <w:rPr>
      <w:b/>
      <w:kern w:val="44"/>
      <w:sz w:val="44"/>
      <w:szCs w:val="22"/>
    </w:rPr>
  </w:style>
  <w:style w:type="paragraph" w:styleId="4">
    <w:name w:val="heading 2"/>
    <w:basedOn w:val="1"/>
    <w:next w:val="1"/>
    <w:unhideWhenUsed/>
    <w:qFormat/>
    <w:uiPriority w:val="0"/>
    <w:pPr>
      <w:keepNext/>
      <w:keepLines/>
      <w:numPr>
        <w:ilvl w:val="1"/>
        <w:numId w:val="1"/>
      </w:numPr>
      <w:tabs>
        <w:tab w:val="left" w:pos="0"/>
      </w:tabs>
      <w:spacing w:before="260" w:beforeLines="0" w:beforeAutospacing="0" w:after="260" w:afterLines="0" w:afterAutospacing="0" w:line="413" w:lineRule="auto"/>
      <w:ind w:left="575" w:hanging="575" w:firstLineChars="0"/>
      <w:outlineLvl w:val="1"/>
    </w:pPr>
    <w:rPr>
      <w:rFonts w:ascii="DejaVu Sans" w:hAnsi="DejaVu Sans"/>
      <w:b/>
      <w:sz w:val="36"/>
    </w:rPr>
  </w:style>
  <w:style w:type="paragraph" w:styleId="5">
    <w:name w:val="heading 3"/>
    <w:basedOn w:val="1"/>
    <w:next w:val="1"/>
    <w:unhideWhenUsed/>
    <w:qFormat/>
    <w:uiPriority w:val="0"/>
    <w:pPr>
      <w:keepNext/>
      <w:keepLines/>
      <w:numPr>
        <w:ilvl w:val="2"/>
        <w:numId w:val="1"/>
      </w:numPr>
      <w:spacing w:before="260" w:beforeLines="0" w:beforeAutospacing="0" w:after="260" w:afterLines="0" w:afterAutospacing="0" w:line="413" w:lineRule="auto"/>
      <w:ind w:left="720" w:hanging="720" w:firstLineChars="0"/>
      <w:outlineLvl w:val="2"/>
    </w:pPr>
    <w:rPr>
      <w:b/>
      <w:sz w:val="32"/>
    </w:rPr>
  </w:style>
  <w:style w:type="paragraph" w:styleId="6">
    <w:name w:val="heading 4"/>
    <w:basedOn w:val="1"/>
    <w:next w:val="1"/>
    <w:unhideWhenUsed/>
    <w:qFormat/>
    <w:uiPriority w:val="0"/>
    <w:pPr>
      <w:keepNext/>
      <w:keepLines/>
      <w:numPr>
        <w:ilvl w:val="3"/>
        <w:numId w:val="1"/>
      </w:numPr>
      <w:spacing w:before="280" w:beforeLines="0" w:beforeAutospacing="0" w:after="290" w:afterLines="0" w:afterAutospacing="0" w:line="372" w:lineRule="auto"/>
      <w:ind w:left="864" w:hanging="864" w:firstLineChars="0"/>
      <w:outlineLvl w:val="3"/>
    </w:pPr>
    <w:rPr>
      <w:rFonts w:ascii="DejaVu Sans" w:hAnsi="DejaVu Sans" w:eastAsia="仿宋"/>
      <w:b/>
      <w:sz w:val="30"/>
    </w:rPr>
  </w:style>
  <w:style w:type="paragraph" w:styleId="7">
    <w:name w:val="heading 5"/>
    <w:basedOn w:val="1"/>
    <w:next w:val="1"/>
    <w:unhideWhenUsed/>
    <w:qFormat/>
    <w:uiPriority w:val="0"/>
    <w:pPr>
      <w:keepNext/>
      <w:keepLines/>
      <w:numPr>
        <w:ilvl w:val="4"/>
        <w:numId w:val="1"/>
      </w:numPr>
      <w:spacing w:before="280" w:beforeLines="0" w:beforeAutospacing="0" w:after="290" w:afterLines="0" w:afterAutospacing="0" w:line="372" w:lineRule="auto"/>
      <w:ind w:left="1008" w:hanging="1008" w:firstLineChars="0"/>
      <w:outlineLvl w:val="4"/>
    </w:pPr>
    <w:rPr>
      <w:b/>
      <w:sz w:val="28"/>
    </w:rPr>
  </w:style>
  <w:style w:type="paragraph" w:styleId="8">
    <w:name w:val="heading 6"/>
    <w:basedOn w:val="1"/>
    <w:next w:val="1"/>
    <w:unhideWhenUsed/>
    <w:qFormat/>
    <w:uiPriority w:val="0"/>
    <w:pPr>
      <w:keepNext/>
      <w:keepLines/>
      <w:numPr>
        <w:ilvl w:val="5"/>
        <w:numId w:val="1"/>
      </w:numPr>
      <w:spacing w:before="240" w:beforeLines="0" w:beforeAutospacing="0" w:after="64" w:afterLines="0" w:afterAutospacing="0" w:line="317" w:lineRule="auto"/>
      <w:ind w:left="1151" w:hanging="1151" w:firstLineChars="0"/>
      <w:outlineLvl w:val="5"/>
    </w:pPr>
    <w:rPr>
      <w:rFonts w:ascii="DejaVu Sans" w:hAnsi="DejaVu Sans" w:eastAsia="方正黑体_GBK"/>
      <w:b/>
      <w:sz w:val="24"/>
    </w:rPr>
  </w:style>
  <w:style w:type="paragraph" w:styleId="9">
    <w:name w:val="heading 7"/>
    <w:basedOn w:val="1"/>
    <w:next w:val="1"/>
    <w:unhideWhenUsed/>
    <w:qFormat/>
    <w:uiPriority w:val="0"/>
    <w:pPr>
      <w:keepNext/>
      <w:keepLines/>
      <w:numPr>
        <w:ilvl w:val="6"/>
        <w:numId w:val="1"/>
      </w:numPr>
      <w:spacing w:before="240" w:beforeLines="0" w:beforeAutospacing="0" w:after="64" w:afterLines="0" w:afterAutospacing="0" w:line="317" w:lineRule="auto"/>
      <w:ind w:left="1296" w:hanging="1296" w:firstLineChars="0"/>
      <w:outlineLvl w:val="6"/>
    </w:pPr>
    <w:rPr>
      <w:b/>
      <w:sz w:val="24"/>
    </w:rPr>
  </w:style>
  <w:style w:type="paragraph" w:styleId="10">
    <w:name w:val="heading 8"/>
    <w:basedOn w:val="1"/>
    <w:next w:val="1"/>
    <w:unhideWhenUsed/>
    <w:qFormat/>
    <w:uiPriority w:val="0"/>
    <w:pPr>
      <w:keepNext/>
      <w:keepLines/>
      <w:numPr>
        <w:ilvl w:val="7"/>
        <w:numId w:val="1"/>
      </w:numPr>
      <w:spacing w:before="240" w:beforeLines="0" w:beforeAutospacing="0" w:after="64" w:afterLines="0" w:afterAutospacing="0" w:line="317" w:lineRule="auto"/>
      <w:ind w:left="1440" w:hanging="1440" w:firstLineChars="0"/>
      <w:outlineLvl w:val="7"/>
    </w:pPr>
    <w:rPr>
      <w:rFonts w:ascii="DejaVu Sans" w:hAnsi="DejaVu Sans" w:eastAsia="方正黑体_GBK"/>
      <w:sz w:val="24"/>
    </w:rPr>
  </w:style>
  <w:style w:type="paragraph" w:styleId="11">
    <w:name w:val="heading 9"/>
    <w:basedOn w:val="1"/>
    <w:next w:val="1"/>
    <w:unhideWhenUsed/>
    <w:qFormat/>
    <w:uiPriority w:val="0"/>
    <w:pPr>
      <w:keepNext/>
      <w:keepLines/>
      <w:numPr>
        <w:ilvl w:val="8"/>
        <w:numId w:val="1"/>
      </w:numPr>
      <w:spacing w:before="240" w:beforeLines="0" w:beforeAutospacing="0" w:after="64" w:afterLines="0" w:afterAutospacing="0" w:line="317" w:lineRule="auto"/>
      <w:ind w:left="1583" w:hanging="1583" w:firstLineChars="0"/>
      <w:outlineLvl w:val="8"/>
    </w:pPr>
    <w:rPr>
      <w:rFonts w:ascii="DejaVu Sans" w:hAnsi="DejaVu Sans" w:eastAsia="方正黑体_GBK"/>
      <w:sz w:val="21"/>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 w:val="28"/>
      <w:szCs w:val="20"/>
    </w:rPr>
  </w:style>
  <w:style w:type="paragraph" w:styleId="12">
    <w:name w:val="Normal Indent"/>
    <w:basedOn w:val="1"/>
    <w:qFormat/>
    <w:uiPriority w:val="0"/>
    <w:pPr>
      <w:ind w:firstLine="420"/>
    </w:pPr>
    <w:rPr>
      <w:kern w:val="0"/>
      <w:sz w:val="20"/>
      <w:szCs w:val="20"/>
    </w:rPr>
  </w:style>
  <w:style w:type="paragraph" w:styleId="13">
    <w:name w:val="Body Text Indent"/>
    <w:basedOn w:val="1"/>
    <w:qFormat/>
    <w:uiPriority w:val="0"/>
    <w:pPr>
      <w:spacing w:after="120" w:afterLines="0" w:afterAutospacing="0"/>
      <w:ind w:left="420" w:leftChars="200"/>
    </w:pPr>
  </w:style>
  <w:style w:type="paragraph" w:styleId="14">
    <w:name w:val="index 4"/>
    <w:basedOn w:val="1"/>
    <w:next w:val="1"/>
    <w:qFormat/>
    <w:uiPriority w:val="0"/>
    <w:pPr>
      <w:ind w:left="600" w:leftChars="600"/>
    </w:pPr>
  </w:style>
  <w:style w:type="paragraph" w:styleId="15">
    <w:name w:val="Plain Text"/>
    <w:basedOn w:val="1"/>
    <w:qFormat/>
    <w:uiPriority w:val="0"/>
    <w:rPr>
      <w:rFonts w:ascii="宋体" w:hAnsi="Courier New"/>
    </w:rPr>
  </w:style>
  <w:style w:type="paragraph" w:styleId="16">
    <w:name w:val="Body Text Indent 2"/>
    <w:basedOn w:val="1"/>
    <w:qFormat/>
    <w:uiPriority w:val="0"/>
    <w:pPr>
      <w:spacing w:after="120" w:line="480" w:lineRule="auto"/>
      <w:ind w:left="420" w:leftChars="200"/>
    </w:pPr>
    <w:rPr>
      <w:rFonts w:ascii="Calibri" w:hAnsi="Calibri"/>
    </w:rPr>
  </w:style>
  <w:style w:type="paragraph" w:styleId="17">
    <w:name w:val="Body Text First Indent 2"/>
    <w:basedOn w:val="13"/>
    <w:qFormat/>
    <w:uiPriority w:val="0"/>
    <w:pPr>
      <w:ind w:firstLine="420" w:firstLineChars="200"/>
    </w:pPr>
  </w:style>
  <w:style w:type="paragraph" w:customStyle="1" w:styleId="20">
    <w:name w:val="正文1"/>
    <w:next w:val="1"/>
    <w:qFormat/>
    <w:uiPriority w:val="0"/>
    <w:rPr>
      <w:rFonts w:ascii="Helvetica" w:hAnsi="Helvetica" w:eastAsia="Arial Unicode MS" w:cs="Arial Unicode MS"/>
      <w:color w:val="000000"/>
      <w:sz w:val="22"/>
      <w:szCs w:val="22"/>
      <w:lang w:val="en-US" w:eastAsia="zh-CN" w:bidi="ar-SA"/>
    </w:rPr>
  </w:style>
  <w:style w:type="paragraph" w:customStyle="1" w:styleId="21">
    <w:name w:val="Body text|1"/>
    <w:basedOn w:val="1"/>
    <w:qFormat/>
    <w:uiPriority w:val="0"/>
    <w:pPr>
      <w:widowControl w:val="0"/>
      <w:spacing w:line="420" w:lineRule="auto"/>
      <w:ind w:firstLine="400"/>
      <w:textAlignment w:val="auto"/>
    </w:pPr>
    <w:rPr>
      <w:rFonts w:ascii="宋体" w:hAnsi="宋体" w:cs="宋体"/>
      <w:sz w:val="22"/>
      <w:lang w:val="zh-TW" w:eastAsia="zh-TW" w:bidi="zh-TW"/>
    </w:rPr>
  </w:style>
  <w:style w:type="paragraph" w:customStyle="1"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1854</Words>
  <Characters>1902</Characters>
  <Lines>0</Lines>
  <Paragraphs>0</Paragraphs>
  <TotalTime>11</TotalTime>
  <ScaleCrop>false</ScaleCrop>
  <LinksUpToDate>false</LinksUpToDate>
  <CharactersWithSpaces>1902</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2023-11-02T01:12:00Z</dcterms:created>
  <dc:creator>PC</dc:creator>
  <cp:lastModifiedBy>万志敏</cp:lastModifiedBy>
  <dcterms:modified xsi:type="dcterms:W3CDTF">2023-11-15T07:59:20Z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DEC0CB3955C140ED969DF283D56678A2_13</vt:lpwstr>
  </property>
</Properties>
</file>